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89" w:rsidRPr="001F7A89" w:rsidRDefault="001F7A89" w:rsidP="001F7A89">
      <w:pPr>
        <w:pStyle w:val="Default"/>
        <w:jc w:val="both"/>
      </w:pPr>
      <w:r w:rsidRPr="001F7A89">
        <w:rPr>
          <w:b/>
          <w:bCs/>
        </w:rPr>
        <w:t xml:space="preserve">Declaración de las Necesidades Básicas de Las Personas Sordociegas </w:t>
      </w:r>
    </w:p>
    <w:p w:rsidR="001F7A89" w:rsidRPr="001F7A89" w:rsidRDefault="001F7A89" w:rsidP="001F7A89">
      <w:pPr>
        <w:pStyle w:val="Default"/>
        <w:jc w:val="both"/>
        <w:rPr>
          <w:b/>
          <w:bCs/>
        </w:rPr>
      </w:pPr>
      <w:r w:rsidRPr="001F7A89">
        <w:rPr>
          <w:b/>
          <w:bCs/>
        </w:rPr>
        <w:t xml:space="preserve">(IV Conferencia Helen Keller, Estocolmo, 1989): </w:t>
      </w:r>
    </w:p>
    <w:p w:rsidR="001F7A89" w:rsidRPr="001F7A89" w:rsidRDefault="001F7A89" w:rsidP="001F7A89">
      <w:pPr>
        <w:pStyle w:val="Default"/>
        <w:jc w:val="both"/>
      </w:pPr>
    </w:p>
    <w:p w:rsidR="001F7A89" w:rsidRPr="001F7A89" w:rsidRDefault="001F7A89" w:rsidP="001F7A89">
      <w:pPr>
        <w:pStyle w:val="Default"/>
        <w:jc w:val="both"/>
      </w:pPr>
      <w:r w:rsidRPr="001F7A89">
        <w:rPr>
          <w:i/>
          <w:iCs/>
        </w:rPr>
        <w:t xml:space="preserve">Art. 1° </w:t>
      </w:r>
    </w:p>
    <w:p w:rsidR="001F7A89" w:rsidRDefault="001F7A89" w:rsidP="001F7A89">
      <w:pPr>
        <w:pStyle w:val="Default"/>
        <w:jc w:val="both"/>
        <w:rPr>
          <w:i/>
          <w:iCs/>
        </w:rPr>
      </w:pPr>
      <w:r w:rsidRPr="001F7A89">
        <w:rPr>
          <w:i/>
          <w:iCs/>
        </w:rPr>
        <w:t xml:space="preserve">Las estadísticas indican la existencia de personas sordociegas en todos los países del mundo. </w:t>
      </w:r>
    </w:p>
    <w:p w:rsidR="001F7A89" w:rsidRPr="001F7A89" w:rsidRDefault="001F7A89" w:rsidP="001F7A89">
      <w:pPr>
        <w:pStyle w:val="Default"/>
        <w:jc w:val="both"/>
      </w:pPr>
    </w:p>
    <w:p w:rsidR="001F7A89" w:rsidRPr="001F7A89" w:rsidRDefault="001F7A89" w:rsidP="001F7A89">
      <w:pPr>
        <w:pStyle w:val="Default"/>
        <w:jc w:val="both"/>
      </w:pPr>
      <w:r w:rsidRPr="001F7A89">
        <w:rPr>
          <w:i/>
          <w:iCs/>
        </w:rPr>
        <w:t xml:space="preserve">En cada uno de ellos deberían obtenerse datos demográficos acerca de la población sordociega con miras a la planificación de los servicios necesarios para ayudarles a desarrollar plenamente sus potenciales como ciudadanos.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2° </w:t>
      </w:r>
    </w:p>
    <w:p w:rsidR="001F7A89" w:rsidRPr="001F7A89" w:rsidRDefault="001F7A89" w:rsidP="001F7A89">
      <w:pPr>
        <w:pStyle w:val="Default"/>
        <w:jc w:val="both"/>
      </w:pPr>
      <w:r w:rsidRPr="001F7A89">
        <w:rPr>
          <w:i/>
          <w:iCs/>
        </w:rPr>
        <w:t xml:space="preserve">La sordoceguera no significa ceguera con la discapacidad adicional de la sordera ni tampoco sordera con el agregado de la deficiencia que implica la ceguera. Es una discapacidad diferente que exige servicios especializados.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3° </w:t>
      </w:r>
    </w:p>
    <w:p w:rsidR="001F7A89" w:rsidRPr="001F7A89" w:rsidRDefault="001F7A89" w:rsidP="001F7A89">
      <w:pPr>
        <w:pStyle w:val="Default"/>
        <w:jc w:val="both"/>
      </w:pPr>
      <w:r w:rsidRPr="001F7A89">
        <w:rPr>
          <w:i/>
          <w:iCs/>
        </w:rPr>
        <w:t xml:space="preserve">Se requiere de una formación altamente especializada para los profesionales que tengan que encarar la ceguera y la sordera simultáneamente. Cada país tiene la responsabilidad de formar profesionales calificados que puedan evaluar y valorar el potencial de sus ciudadanos sordociegos. En caso de que no existan conocimientos suficientes en un país, se debe procurar la ayuda de aquellos que cuenten con sus servicios establecidos para asegurar un nivel básico en la calidad de las atenciones que se brinden.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4° </w:t>
      </w:r>
    </w:p>
    <w:p w:rsidR="001F7A89" w:rsidRDefault="001F7A89" w:rsidP="001F7A89">
      <w:pPr>
        <w:pStyle w:val="Default"/>
        <w:jc w:val="both"/>
        <w:rPr>
          <w:i/>
          <w:iCs/>
        </w:rPr>
      </w:pPr>
      <w:r w:rsidRPr="001F7A89">
        <w:rPr>
          <w:i/>
          <w:iCs/>
        </w:rPr>
        <w:t xml:space="preserve">La comunicación es la barrera más tremenda con la que se enfrentan los sordociegos. La comunicación es la clave del aprendizaje, de la adquisición de conocimientos y del acceso a otras personas. Representa un imperativo, independientemente del nivel de los logros de cada individuo sordociego. </w:t>
      </w:r>
    </w:p>
    <w:p w:rsidR="001F7A89" w:rsidRPr="001F7A89" w:rsidRDefault="001F7A89" w:rsidP="001F7A89">
      <w:pPr>
        <w:pStyle w:val="Default"/>
        <w:jc w:val="both"/>
      </w:pPr>
    </w:p>
    <w:p w:rsidR="001F7A89" w:rsidRPr="001F7A89" w:rsidRDefault="001F7A89" w:rsidP="001F7A89">
      <w:pPr>
        <w:pStyle w:val="Default"/>
        <w:jc w:val="both"/>
      </w:pPr>
      <w:r w:rsidRPr="001F7A89">
        <w:rPr>
          <w:i/>
          <w:iCs/>
        </w:rPr>
        <w:t xml:space="preserve">Teniendo esto en cuenta, se insta con toda la fuerza posible a que se dé la más alta prioridad a la enseñanza del lenguaje oral, el Braille y otros medios y dispositivos técnicos que constituyen avenidas importantes para el desarrollo de la comunicación eficaz que se pueda lograra a través del sentido del tacto. Sin embargo, se insta enérgicamente a que las personas sordociegas se les ofrezca entrenamiento en varios métodos de comunicación para proporcionarles la mayor flexibilidad, tanto de recepción como de expresión.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5° </w:t>
      </w:r>
    </w:p>
    <w:p w:rsidR="001F7A89" w:rsidRDefault="001F7A89" w:rsidP="001F7A89">
      <w:pPr>
        <w:pStyle w:val="Default"/>
        <w:jc w:val="both"/>
        <w:rPr>
          <w:i/>
          <w:iCs/>
        </w:rPr>
      </w:pPr>
      <w:r w:rsidRPr="001F7A89">
        <w:rPr>
          <w:i/>
          <w:iCs/>
        </w:rPr>
        <w:t xml:space="preserve">En todos los países del mundo deberían proporcionarse oportunidades educativas especializadas para satisfacer las necesidades particulares de los sordociegos. </w:t>
      </w:r>
    </w:p>
    <w:p w:rsidR="001F7A89" w:rsidRPr="001F7A89" w:rsidRDefault="001F7A89" w:rsidP="001F7A89">
      <w:pPr>
        <w:pStyle w:val="Default"/>
        <w:jc w:val="both"/>
      </w:pPr>
    </w:p>
    <w:p w:rsidR="001F7A89" w:rsidRPr="001F7A89" w:rsidRDefault="001F7A89" w:rsidP="001F7A89">
      <w:pPr>
        <w:pStyle w:val="Default"/>
        <w:jc w:val="both"/>
      </w:pPr>
      <w:r w:rsidRPr="001F7A89">
        <w:rPr>
          <w:i/>
          <w:iCs/>
        </w:rPr>
        <w:t xml:space="preserve">Con frecuencia, se puede encontrar una inserción adecuada en los programas preparada para niños sordos, ciegos, sordociegos o sin discapacidades. Sin embargo, en cada país se debería evaluar cuidadosamente cuál situación educativa permite una capacitación mayor a niños sordociegos. Los programas educativos de tales niños deberían incluir cuidados personales y habilidades de la vida diaria básica. </w:t>
      </w:r>
    </w:p>
    <w:p w:rsidR="001F7A89" w:rsidRPr="001F7A89" w:rsidRDefault="001F7A89" w:rsidP="001F7A89">
      <w:pPr>
        <w:pStyle w:val="Default"/>
        <w:jc w:val="both"/>
      </w:pPr>
      <w:r w:rsidRPr="001F7A89">
        <w:rPr>
          <w:i/>
          <w:iCs/>
        </w:rPr>
        <w:lastRenderedPageBreak/>
        <w:t xml:space="preserve">Art. 6° </w:t>
      </w:r>
    </w:p>
    <w:p w:rsidR="001F7A89" w:rsidRPr="001F7A89" w:rsidRDefault="001F7A89" w:rsidP="001F7A89">
      <w:pPr>
        <w:pStyle w:val="Default"/>
        <w:jc w:val="both"/>
      </w:pPr>
      <w:r w:rsidRPr="001F7A89">
        <w:rPr>
          <w:i/>
          <w:iCs/>
        </w:rPr>
        <w:t xml:space="preserve">La pérdida de la vista y el oído es en sí misma una barrera para la productividad que puedan lograr las personas sordociegas en un puesto de trabajo. Debe estudiarse la posibilidad de que cada sordociego con posibilidades laborales trabaje en un empleo productivo en el ambiente menos restrictivo posible. El asesoramiento adecuado tanto como la formación, la preparación para el trabajo en sí, la colocación laboral y los servicios de seguimiento son componentes importantes del proceso de rehabilitación. Estos servicios se deberían desarrollar en la mayor medida posible en cada país, contando con la activa participación de la persona sordociega en la planificación del caso en la forma más plena factible.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7° </w:t>
      </w:r>
    </w:p>
    <w:p w:rsidR="001F7A89" w:rsidRPr="001F7A89" w:rsidRDefault="001F7A89" w:rsidP="001F7A89">
      <w:pPr>
        <w:pStyle w:val="Default"/>
        <w:jc w:val="both"/>
      </w:pPr>
      <w:r w:rsidRPr="001F7A89">
        <w:rPr>
          <w:i/>
          <w:iCs/>
        </w:rPr>
        <w:t xml:space="preserve">Para lograr una comunicación efectiva, las personas sordociegas con frecuencia necesitan la ayuda de un intérprete. Los servicios de interpretación son la clave de la independencia de los sordociegos; deben tenerse en cuenta estas diferencias cuando se planifique la formación de intérpretes. Los servicios de interpretación constituyen el recurso más indispensable para el sordociego; son un componente esencial de una red de servicios general.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8° </w:t>
      </w:r>
    </w:p>
    <w:p w:rsidR="001F7A89" w:rsidRPr="001F7A89" w:rsidRDefault="001F7A89" w:rsidP="001F7A89">
      <w:pPr>
        <w:pStyle w:val="Default"/>
        <w:jc w:val="both"/>
      </w:pPr>
      <w:r w:rsidRPr="001F7A89">
        <w:rPr>
          <w:i/>
          <w:iCs/>
        </w:rPr>
        <w:t xml:space="preserve">Los adultos sordociegos necesitan indispensablemente disponer de oportunidades alternativas con respecto a su vivienda. Elalojamiento en residencias supervisadas, la vida en apartamentos con apoyo y la posibilidad de una casa en forma totalmente independiente, son todas las alternativas viables para los adultos sordociegos, siempre que se les prepare y forme adecuadamente para ello. Deben hacerse todos los esfuerzos posibles por lograr una situación lo más próxima posible al ambiente usual de la comunidad para cada persona sordociega. Las preferencias o la capacidad individual de cada sordociego debe ser un factor primario a la hora de determinar el alojamiento más apropiado.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9° </w:t>
      </w:r>
    </w:p>
    <w:p w:rsidR="001F7A89" w:rsidRPr="001F7A89" w:rsidRDefault="001F7A89" w:rsidP="001F7A89">
      <w:pPr>
        <w:pStyle w:val="Default"/>
        <w:jc w:val="both"/>
      </w:pPr>
      <w:r w:rsidRPr="001F7A89">
        <w:rPr>
          <w:i/>
          <w:iCs/>
        </w:rPr>
        <w:t xml:space="preserve">Las oportunidades de recreación y de interacción social son tan importantes y proporcionan tanta satisfacción a los sordociegos como a cualquier otro miembro de la comunidad. Dado que frecuentemente los sordociegos no pueden procurarse esas oportunidades por sí mismos, es la sociedad la que tiene la obligación de acercárselas. La interacción social con sus iguales puede tener una influencia decisiva en el ajuste de las personas sordociegas a su doble discapacidad y en la aceptación de tal situación, lo que estimula un desarrollo personal positivo. </w:t>
      </w:r>
    </w:p>
    <w:p w:rsidR="001F7A89" w:rsidRDefault="001F7A89" w:rsidP="001F7A89">
      <w:pPr>
        <w:pStyle w:val="Default"/>
        <w:jc w:val="both"/>
        <w:rPr>
          <w:i/>
          <w:iCs/>
        </w:rPr>
      </w:pPr>
    </w:p>
    <w:p w:rsidR="001F7A89" w:rsidRPr="001F7A89" w:rsidRDefault="001F7A89" w:rsidP="001F7A89">
      <w:pPr>
        <w:pStyle w:val="Default"/>
        <w:jc w:val="both"/>
      </w:pPr>
      <w:r w:rsidRPr="001F7A89">
        <w:rPr>
          <w:i/>
          <w:iCs/>
        </w:rPr>
        <w:t xml:space="preserve">Art. 10° </w:t>
      </w:r>
    </w:p>
    <w:p w:rsidR="0045017B" w:rsidRPr="001F7A89" w:rsidRDefault="001F7A89" w:rsidP="001F7A89">
      <w:pPr>
        <w:pStyle w:val="Default"/>
        <w:jc w:val="both"/>
      </w:pPr>
      <w:r w:rsidRPr="001F7A89">
        <w:rPr>
          <w:i/>
          <w:iCs/>
        </w:rPr>
        <w:t xml:space="preserve">El hecho de que el público en general tenga conciencia de las necesidades, capacidad y logros de los sordociegos es de primordial importancia para asegurar la ayuda de los gobiernos y de la comunidad en el desarrollo y mantenimiento de los servicios que éstos necesitan. Como medio para estimular esta conciencia pública y como recordatorio simbólico de los logros de la persona sordociega más famosa de la historia, se sugiere que la semana </w:t>
      </w:r>
      <w:r w:rsidRPr="001F7A89">
        <w:rPr>
          <w:i/>
          <w:iCs/>
        </w:rPr>
        <w:lastRenderedPageBreak/>
        <w:t xml:space="preserve">del nacimiento de Hellen Keller (27 de junio), se declare la semana Hellen Keller de Concientización de la Sordoceguera en todo el mundo.  </w:t>
      </w:r>
    </w:p>
    <w:sectPr w:rsidR="0045017B" w:rsidRPr="001F7A89" w:rsidSect="004501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F7A89"/>
    <w:rsid w:val="001F7A89"/>
    <w:rsid w:val="004501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7A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2018-02-14T09:46:00Z</dcterms:created>
  <dcterms:modified xsi:type="dcterms:W3CDTF">2018-02-14T09:58:00Z</dcterms:modified>
</cp:coreProperties>
</file>